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55" w:rsidRDefault="00E92855" w:rsidP="00E92855">
      <w:pPr>
        <w:shd w:val="clear" w:color="auto" w:fill="FFFFFF"/>
        <w:rPr>
          <w:b/>
          <w:sz w:val="28"/>
          <w:szCs w:val="28"/>
        </w:rPr>
      </w:pPr>
    </w:p>
    <w:p w:rsidR="00E92855" w:rsidRDefault="00E92855" w:rsidP="00E92855">
      <w:pPr>
        <w:shd w:val="clear" w:color="auto" w:fill="FFFFFF"/>
        <w:ind w:left="-142"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  <w:r w:rsidRPr="00DF77A1">
        <w:rPr>
          <w:b/>
          <w:sz w:val="28"/>
          <w:szCs w:val="28"/>
        </w:rPr>
        <w:t>на проектирование сооружений</w:t>
      </w:r>
      <w:r>
        <w:rPr>
          <w:b/>
          <w:sz w:val="28"/>
          <w:szCs w:val="28"/>
        </w:rPr>
        <w:t xml:space="preserve"> </w:t>
      </w:r>
    </w:p>
    <w:p w:rsidR="00E92855" w:rsidRPr="00ED2A56" w:rsidRDefault="00E92855" w:rsidP="00E92855">
      <w:pPr>
        <w:shd w:val="clear" w:color="auto" w:fill="FFFFFF"/>
        <w:ind w:left="-142"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D2A56">
        <w:rPr>
          <w:b/>
          <w:sz w:val="28"/>
          <w:szCs w:val="28"/>
        </w:rPr>
        <w:t>одопровода и канализации</w:t>
      </w:r>
    </w:p>
    <w:p w:rsidR="00E92855" w:rsidRDefault="00E92855" w:rsidP="00E92855">
      <w:pPr>
        <w:pStyle w:val="3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2"/>
        <w:gridCol w:w="4069"/>
        <w:gridCol w:w="4926"/>
        <w:gridCol w:w="461"/>
      </w:tblGrid>
      <w:tr w:rsidR="00E92855" w:rsidRPr="00ED0E9F" w:rsidTr="005A15F3">
        <w:trPr>
          <w:trHeight w:val="471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ind w:left="-23"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Default="00E92855" w:rsidP="005A15F3"/>
        </w:tc>
      </w:tr>
      <w:tr w:rsidR="00E92855" w:rsidRPr="00ED0E9F" w:rsidTr="005A15F3">
        <w:trPr>
          <w:trHeight w:val="563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строительства</w:t>
            </w:r>
            <w:r w:rsidRPr="007461C5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Default="00E92855" w:rsidP="005A15F3"/>
        </w:tc>
      </w:tr>
      <w:tr w:rsidR="00E92855" w:rsidRPr="00ED0E9F" w:rsidTr="005A15F3">
        <w:trPr>
          <w:trHeight w:val="543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left"/>
              <w:rPr>
                <w:sz w:val="22"/>
                <w:szCs w:val="22"/>
              </w:rPr>
            </w:pPr>
            <w:r w:rsidRPr="007461C5">
              <w:rPr>
                <w:sz w:val="22"/>
                <w:szCs w:val="22"/>
              </w:rPr>
              <w:t xml:space="preserve">Заказчик </w:t>
            </w:r>
            <w:r>
              <w:rPr>
                <w:sz w:val="22"/>
                <w:szCs w:val="22"/>
              </w:rPr>
              <w:t xml:space="preserve"> проектирования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Pr="007452C4" w:rsidRDefault="00E92855" w:rsidP="005A15F3"/>
        </w:tc>
      </w:tr>
      <w:tr w:rsidR="00E92855" w:rsidRPr="00ED0E9F" w:rsidTr="005A15F3">
        <w:trPr>
          <w:trHeight w:val="446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CB4C81" w:rsidRDefault="00E92855" w:rsidP="005A15F3">
            <w:pPr>
              <w:ind w:right="-185"/>
            </w:pPr>
            <w:r w:rsidRPr="00CB4C81">
              <w:t>Основание для проектирования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Pr="007452C4" w:rsidRDefault="00E92855" w:rsidP="005A15F3"/>
        </w:tc>
      </w:tr>
      <w:tr w:rsidR="00E92855" w:rsidRPr="00ED0E9F" w:rsidTr="005A15F3">
        <w:trPr>
          <w:trHeight w:val="365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left"/>
              <w:rPr>
                <w:color w:val="FF0000"/>
                <w:sz w:val="22"/>
                <w:szCs w:val="22"/>
              </w:rPr>
            </w:pPr>
            <w:r w:rsidRPr="007461C5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Pr="00227D63" w:rsidRDefault="00E92855" w:rsidP="005A15F3">
            <w:pPr>
              <w:pStyle w:val="a9"/>
              <w:rPr>
                <w:color w:val="FF0000"/>
              </w:rPr>
            </w:pPr>
          </w:p>
        </w:tc>
      </w:tr>
      <w:tr w:rsidR="00E92855" w:rsidRPr="00ED0E9F" w:rsidTr="005A15F3">
        <w:trPr>
          <w:trHeight w:val="436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left"/>
              <w:rPr>
                <w:sz w:val="22"/>
                <w:szCs w:val="22"/>
              </w:rPr>
            </w:pPr>
            <w:r w:rsidRPr="007461C5">
              <w:rPr>
                <w:sz w:val="22"/>
                <w:szCs w:val="22"/>
              </w:rPr>
              <w:t>Очередность строительства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Pr="00624C49" w:rsidRDefault="00E92855" w:rsidP="005A15F3">
            <w:pPr>
              <w:pStyle w:val="a9"/>
            </w:pPr>
          </w:p>
        </w:tc>
      </w:tr>
      <w:tr w:rsidR="00E92855" w:rsidRPr="00ED0E9F" w:rsidTr="005A15F3">
        <w:trPr>
          <w:trHeight w:val="555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jc w:val="left"/>
              <w:rPr>
                <w:sz w:val="22"/>
                <w:szCs w:val="22"/>
              </w:rPr>
            </w:pPr>
            <w:r w:rsidRPr="007461C5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Default="00E92855" w:rsidP="005A15F3"/>
        </w:tc>
      </w:tr>
      <w:tr w:rsidR="00E92855" w:rsidRPr="00ED0E9F" w:rsidTr="005A15F3">
        <w:trPr>
          <w:trHeight w:val="561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7461C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AF7780" w:rsidRDefault="00E92855" w:rsidP="005A15F3">
            <w:pPr>
              <w:pStyle w:val="a9"/>
              <w:tabs>
                <w:tab w:val="left" w:pos="168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проектирования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Pr="0096642C" w:rsidRDefault="00E92855" w:rsidP="005A15F3">
            <w:pPr>
              <w:pStyle w:val="a9"/>
              <w:snapToGrid w:val="0"/>
              <w:jc w:val="left"/>
            </w:pPr>
          </w:p>
        </w:tc>
      </w:tr>
      <w:tr w:rsidR="00E92855" w:rsidRPr="00ED0E9F" w:rsidTr="005A15F3">
        <w:trPr>
          <w:trHeight w:val="555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855" w:rsidRPr="00AF7780" w:rsidRDefault="00E92855" w:rsidP="005A15F3">
            <w:pPr>
              <w:pStyle w:val="a9"/>
              <w:tabs>
                <w:tab w:val="left" w:pos="1683"/>
              </w:tabs>
              <w:snapToGrid w:val="0"/>
              <w:jc w:val="left"/>
              <w:rPr>
                <w:sz w:val="22"/>
                <w:szCs w:val="22"/>
              </w:rPr>
            </w:pPr>
            <w:r w:rsidRPr="00CB4C81">
              <w:t>Потребность в инженерных изысканиях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855" w:rsidRPr="0096642C" w:rsidRDefault="00E92855" w:rsidP="005A15F3">
            <w:pPr>
              <w:pStyle w:val="a9"/>
              <w:snapToGrid w:val="0"/>
              <w:jc w:val="left"/>
            </w:pPr>
          </w:p>
        </w:tc>
      </w:tr>
      <w:tr w:rsidR="00E92855" w:rsidRPr="00ED0E9F" w:rsidTr="005A15F3">
        <w:trPr>
          <w:trHeight w:val="5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Pr="007461C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Pr="00622137" w:rsidRDefault="00E92855" w:rsidP="005A15F3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 строительства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DF77A1" w:rsidRDefault="00E92855" w:rsidP="005A15F3">
            <w:pPr>
              <w:pStyle w:val="6"/>
              <w:keepNext w:val="0"/>
              <w:tabs>
                <w:tab w:val="left" w:pos="0"/>
                <w:tab w:val="left" w:pos="540"/>
              </w:tabs>
              <w:snapToGrid w:val="0"/>
              <w:rPr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417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Pr="004F2778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Pr="004F2778" w:rsidRDefault="00E92855" w:rsidP="005A15F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проектируемых объектов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4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Pr="004F2778" w:rsidRDefault="00E92855" w:rsidP="005A15F3">
            <w:pPr>
              <w:pStyle w:val="a9"/>
              <w:rPr>
                <w:sz w:val="22"/>
                <w:szCs w:val="22"/>
              </w:rPr>
            </w:pPr>
            <w:r w:rsidRPr="00CB4C81">
              <w:t>Наружные инженерные сети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Pr="00CB4C81" w:rsidRDefault="00E92855" w:rsidP="005A15F3">
            <w:pPr>
              <w:ind w:right="-185"/>
            </w:pPr>
            <w:r w:rsidRPr="00CB4C81">
              <w:t xml:space="preserve">Основные требования к </w:t>
            </w:r>
          </w:p>
          <w:p w:rsidR="00E92855" w:rsidRPr="004F2778" w:rsidRDefault="00E92855" w:rsidP="005A15F3">
            <w:pPr>
              <w:pStyle w:val="a9"/>
              <w:rPr>
                <w:sz w:val="22"/>
                <w:szCs w:val="22"/>
              </w:rPr>
            </w:pPr>
            <w:r>
              <w:t>к</w:t>
            </w:r>
            <w:r w:rsidRPr="00CB4C81">
              <w:t>онструктивным и технологическим решениям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Pr="00CB4C81" w:rsidRDefault="00E92855" w:rsidP="005A15F3">
            <w:pPr>
              <w:ind w:right="-185"/>
            </w:pPr>
            <w:r w:rsidRPr="00CB4C81">
              <w:t>Ориентировочные технико-экономические показатели объекта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Pr="00CB4C81" w:rsidRDefault="00E92855" w:rsidP="005A15F3">
            <w:pPr>
              <w:ind w:right="-185"/>
            </w:pPr>
            <w:r>
              <w:t>К</w:t>
            </w:r>
            <w:r w:rsidRPr="00CB4C81">
              <w:t>ачеств</w:t>
            </w:r>
            <w:r>
              <w:t>о</w:t>
            </w:r>
            <w:r w:rsidRPr="00CB4C81">
              <w:t xml:space="preserve"> </w:t>
            </w:r>
            <w:r>
              <w:t>исходной воды (</w:t>
            </w:r>
            <w:r w:rsidRPr="00CB4C81">
              <w:t>хозяйственно-бытовых сточных вод</w:t>
            </w:r>
            <w:r>
              <w:t>)</w:t>
            </w:r>
            <w:r w:rsidRPr="00CB4C81">
              <w:t>, поступающих</w:t>
            </w:r>
            <w:r>
              <w:t xml:space="preserve"> </w:t>
            </w:r>
            <w:r w:rsidRPr="00CB4C81">
              <w:t>на очистку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ind w:right="-185"/>
            </w:pPr>
            <w:r w:rsidRPr="00CB4C81">
              <w:t xml:space="preserve">Требования к качеству очистки </w:t>
            </w:r>
            <w:r>
              <w:t>водопроводной воды (</w:t>
            </w:r>
            <w:r w:rsidRPr="00CB4C81">
              <w:t>хозяйственно-бытовых сточных вод</w:t>
            </w:r>
            <w:r>
              <w:t>)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881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ind w:right="-185"/>
            </w:pPr>
            <w:r>
              <w:t xml:space="preserve">Требования к составу и </w:t>
            </w:r>
            <w:r w:rsidRPr="00CB4C81">
              <w:t xml:space="preserve"> содержанию проектной и рабочей документации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ind w:right="-185"/>
            </w:pPr>
            <w:r w:rsidRPr="00CB4C81">
              <w:t>Требования к качеству проектной и рабочей документации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ind w:right="-185"/>
            </w:pPr>
            <w:r w:rsidRPr="00CB4C81">
              <w:t>Требования к разработке сметной документации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ind w:right="-185"/>
            </w:pPr>
            <w:r w:rsidRPr="00CB4C81">
              <w:t>Дополнительные условия, согласования.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RPr="00ED0E9F" w:rsidTr="005A15F3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</w:tcBorders>
          </w:tcPr>
          <w:p w:rsidR="00E92855" w:rsidRDefault="00E92855" w:rsidP="005A15F3">
            <w:pPr>
              <w:ind w:right="-185"/>
            </w:pPr>
            <w:r>
              <w:t>Материалы предоставляемые Заказчиком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55" w:rsidRPr="004F2778" w:rsidRDefault="00E92855" w:rsidP="005A15F3">
            <w:pPr>
              <w:ind w:firstLine="320"/>
              <w:rPr>
                <w:color w:val="FF0000"/>
                <w:sz w:val="22"/>
                <w:szCs w:val="22"/>
              </w:rPr>
            </w:pPr>
          </w:p>
        </w:tc>
      </w:tr>
      <w:tr w:rsidR="00E92855" w:rsidTr="005A15F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61" w:type="dxa"/>
        </w:trPr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55" w:rsidRPr="008F5708" w:rsidRDefault="00E92855" w:rsidP="005A15F3">
            <w:pPr>
              <w:pStyle w:val="ab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55" w:rsidRPr="008F5708" w:rsidRDefault="00E92855" w:rsidP="005A15F3">
            <w:pPr>
              <w:pStyle w:val="ab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E92855" w:rsidRPr="00CE44D8" w:rsidRDefault="00E92855" w:rsidP="00E92855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92855" w:rsidRPr="00BE6387" w:rsidRDefault="00E92855" w:rsidP="00E9285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387">
        <w:rPr>
          <w:b/>
          <w:sz w:val="28"/>
          <w:szCs w:val="28"/>
          <w:lang w:eastAsia="ru-RU"/>
        </w:rPr>
        <w:t>Пояснения к заполнению технического задания</w:t>
      </w:r>
    </w:p>
    <w:p w:rsidR="00E92855" w:rsidRPr="00BE6387" w:rsidRDefault="00E92855" w:rsidP="00E92855">
      <w:pPr>
        <w:suppressAutoHyphens w:val="0"/>
        <w:rPr>
          <w:b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п.4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>– Основанием для проектирования</w:t>
      </w:r>
      <w:r>
        <w:rPr>
          <w:sz w:val="28"/>
          <w:szCs w:val="28"/>
          <w:lang w:eastAsia="ru-RU"/>
        </w:rPr>
        <w:t xml:space="preserve"> может быть: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 w:rsidRPr="00D50651">
        <w:rPr>
          <w:sz w:val="28"/>
          <w:szCs w:val="28"/>
          <w:lang w:eastAsia="ru-RU"/>
        </w:rPr>
        <w:t>решение предприятия</w:t>
      </w:r>
      <w:r>
        <w:rPr>
          <w:sz w:val="28"/>
          <w:szCs w:val="28"/>
          <w:lang w:eastAsia="ru-RU"/>
        </w:rPr>
        <w:t>, организации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 администрации (поселка, города, области и т.д.)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предписание контролирующих органов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целевая правительственная программа</w:t>
      </w:r>
    </w:p>
    <w:p w:rsidR="00E92855" w:rsidRDefault="00E92855" w:rsidP="00E92855">
      <w:pPr>
        <w:suppressAutoHyphens w:val="0"/>
        <w:ind w:left="207"/>
        <w:rPr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5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Под видом строительства подразумевается новое строительство, реконструкция, расширение</w:t>
      </w:r>
    </w:p>
    <w:p w:rsidR="00E92855" w:rsidRDefault="00E92855" w:rsidP="00E92855">
      <w:pPr>
        <w:suppressAutoHyphens w:val="0"/>
        <w:ind w:left="1134" w:hanging="1134"/>
        <w:rPr>
          <w:b/>
          <w:i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6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1-ая очередь, 2-я очередь … или  строительство в 1 этап</w:t>
      </w:r>
    </w:p>
    <w:p w:rsidR="00E92855" w:rsidRDefault="00E92855" w:rsidP="00E92855">
      <w:pPr>
        <w:suppressAutoHyphens w:val="0"/>
        <w:ind w:left="1134" w:hanging="1134"/>
        <w:rPr>
          <w:b/>
          <w:i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7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Существует две стадии проектирования – Стадия П (проектная документация) и Стадия Р (рабочая документация). Следует указать П или Р или П+Р. Состав разделов каждой стадии см. пояснения к </w:t>
      </w:r>
      <w:r w:rsidRPr="00A65496">
        <w:rPr>
          <w:b/>
          <w:sz w:val="28"/>
          <w:szCs w:val="28"/>
          <w:lang w:eastAsia="ru-RU"/>
        </w:rPr>
        <w:t>п.17</w:t>
      </w:r>
    </w:p>
    <w:p w:rsidR="00E92855" w:rsidRDefault="00E92855" w:rsidP="00E92855">
      <w:pPr>
        <w:suppressAutoHyphens w:val="0"/>
        <w:ind w:left="1134" w:hanging="1134"/>
        <w:rPr>
          <w:b/>
          <w:i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8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Указываются сроки начала и завершения проектирования по каждой стадии проектирования.  Если необходимо проведение государственной (промышленной) экспертизы проектной документации (стадии П), то учитывается период проведения экспертизы до начала выполнения стадии Р</w:t>
      </w:r>
    </w:p>
    <w:p w:rsidR="00E92855" w:rsidRDefault="00E92855" w:rsidP="00E92855">
      <w:pPr>
        <w:suppressAutoHyphens w:val="0"/>
        <w:ind w:left="1134" w:hanging="1134"/>
        <w:rPr>
          <w:b/>
          <w:i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9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Например, проведение: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 w:rsidRPr="00345C0E">
        <w:rPr>
          <w:sz w:val="28"/>
          <w:szCs w:val="28"/>
        </w:rPr>
        <w:t xml:space="preserve">инженерно-геодезических изысканий 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 w:rsidRPr="00345C0E">
        <w:rPr>
          <w:sz w:val="28"/>
          <w:szCs w:val="28"/>
        </w:rPr>
        <w:t>инженерно-геологических изысканий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 w:rsidRPr="00345C0E">
        <w:rPr>
          <w:sz w:val="28"/>
          <w:szCs w:val="28"/>
        </w:rPr>
        <w:t>инженерно-г</w:t>
      </w:r>
      <w:r>
        <w:rPr>
          <w:sz w:val="28"/>
          <w:szCs w:val="28"/>
        </w:rPr>
        <w:t>идрогеологических</w:t>
      </w:r>
      <w:r w:rsidRPr="00345C0E">
        <w:rPr>
          <w:sz w:val="28"/>
          <w:szCs w:val="28"/>
        </w:rPr>
        <w:t xml:space="preserve"> изысканий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</w:rPr>
        <w:t>инженерно-экологических изысканий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строительная экспертиза существующих зданий 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прочее</w:t>
      </w:r>
    </w:p>
    <w:p w:rsidR="00E92855" w:rsidRDefault="00E92855" w:rsidP="00E92855">
      <w:pPr>
        <w:suppressAutoHyphens w:val="0"/>
        <w:ind w:left="993" w:hanging="993"/>
        <w:rPr>
          <w:b/>
          <w:i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993" w:hanging="993"/>
        <w:rPr>
          <w:sz w:val="28"/>
          <w:szCs w:val="28"/>
          <w:lang w:eastAsia="ru-RU"/>
        </w:rPr>
      </w:pPr>
      <w:r w:rsidRPr="00345C0E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10</w:t>
      </w:r>
      <w:r w:rsidRPr="00345C0E">
        <w:rPr>
          <w:b/>
          <w:sz w:val="28"/>
          <w:szCs w:val="28"/>
          <w:lang w:eastAsia="ru-RU"/>
        </w:rPr>
        <w:t xml:space="preserve"> </w:t>
      </w:r>
      <w:r w:rsidRPr="00345C0E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Например: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Особая климатическая зона строительства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Сейсмичность района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Карстовый район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Прочие требования</w:t>
      </w:r>
    </w:p>
    <w:p w:rsidR="00E92855" w:rsidRDefault="00E92855" w:rsidP="00E92855">
      <w:pPr>
        <w:suppressAutoHyphens w:val="0"/>
        <w:ind w:left="993" w:hanging="993"/>
        <w:rPr>
          <w:b/>
          <w:i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993" w:hanging="993"/>
        <w:rPr>
          <w:sz w:val="28"/>
          <w:szCs w:val="28"/>
          <w:lang w:eastAsia="ru-RU"/>
        </w:rPr>
      </w:pPr>
      <w:r w:rsidRPr="00345C0E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11</w:t>
      </w:r>
      <w:r w:rsidRPr="00345C0E">
        <w:rPr>
          <w:b/>
          <w:sz w:val="28"/>
          <w:szCs w:val="28"/>
          <w:lang w:eastAsia="ru-RU"/>
        </w:rPr>
        <w:t xml:space="preserve"> </w:t>
      </w:r>
      <w:r w:rsidRPr="00345C0E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Например: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Очистные сооружения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Насосная станция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Водозабор (подземный, поверхностный..)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Водонапорная башня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Сети водоснабжения</w:t>
      </w:r>
    </w:p>
    <w:p w:rsidR="00E92855" w:rsidRDefault="00E92855" w:rsidP="00E92855">
      <w:pPr>
        <w:pStyle w:val="ae"/>
        <w:numPr>
          <w:ilvl w:val="0"/>
          <w:numId w:val="3"/>
        </w:numPr>
        <w:suppressAutoHyphens w:val="0"/>
        <w:ind w:left="993" w:hanging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Сети канализации (самотечные, напорные)</w:t>
      </w:r>
    </w:p>
    <w:p w:rsidR="00E92855" w:rsidRPr="00E64730" w:rsidRDefault="00E92855" w:rsidP="00E92855">
      <w:pPr>
        <w:suppressAutoHyphens w:val="0"/>
        <w:ind w:left="207"/>
        <w:rPr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12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Указываются какие наружные или внутриплощадочные сети необходимо дополнительно запроектировать, например: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Сети водопровода и канализации </w:t>
      </w:r>
      <w:r w:rsidRPr="00345C0E">
        <w:rPr>
          <w:sz w:val="28"/>
          <w:szCs w:val="28"/>
        </w:rPr>
        <w:t xml:space="preserve"> 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</w:rPr>
        <w:t>Сети электроснабжения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</w:rPr>
        <w:t>Наружное освещение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</w:rPr>
        <w:t>Сети теплоснабжения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</w:rPr>
        <w:t>Связь, интернет, диспетчеризация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Сети пароснабжения, воздухоснабжения и т.д  </w:t>
      </w:r>
    </w:p>
    <w:p w:rsidR="00E92855" w:rsidRPr="00A61CF7" w:rsidRDefault="00E92855" w:rsidP="00E92855">
      <w:pPr>
        <w:suppressAutoHyphens w:val="0"/>
        <w:ind w:left="207"/>
        <w:rPr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13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Указываются предпочтения к выполнению конструкций и материалов зданий и сетей. Предпочтительные технологические решения, если таковые наработаны. </w:t>
      </w: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14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Указываются существующие расчетные, требуемые расходы, график водопотребления, количество потребителей, производительность, протяженность сетей и т.д. </w:t>
      </w:r>
    </w:p>
    <w:p w:rsidR="00E92855" w:rsidRPr="00D87E11" w:rsidRDefault="00E92855" w:rsidP="00E92855">
      <w:pPr>
        <w:suppressAutoHyphens w:val="0"/>
        <w:ind w:left="207"/>
        <w:rPr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15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Приложить результаты лабораторных исследований состава исходной воды (сточных вод). </w:t>
      </w:r>
    </w:p>
    <w:p w:rsidR="00E92855" w:rsidRDefault="00E92855" w:rsidP="00E92855">
      <w:pPr>
        <w:suppressAutoHyphens w:val="0"/>
        <w:ind w:left="207"/>
        <w:rPr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16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Указать требования по качеству (степени) очистки воды для хозяйственно-питьевых целей (например СанПиН 2.1.4.1074-01). Для  сточных вод указать точку сброса сточных вод, например: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Городской канализационный коллектор 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 w:rsidRPr="002662F5">
        <w:rPr>
          <w:sz w:val="28"/>
          <w:szCs w:val="28"/>
          <w:lang w:eastAsia="ru-RU"/>
        </w:rPr>
        <w:t xml:space="preserve">Водоем, озеро, пруд </w:t>
      </w:r>
    </w:p>
    <w:p w:rsidR="00E92855" w:rsidRPr="002662F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 w:rsidRPr="002662F5">
        <w:rPr>
          <w:sz w:val="28"/>
          <w:szCs w:val="28"/>
          <w:lang w:eastAsia="ru-RU"/>
        </w:rPr>
        <w:t>Местность, овраг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Прочее</w:t>
      </w:r>
    </w:p>
    <w:p w:rsidR="00E92855" w:rsidRDefault="00E92855" w:rsidP="00E92855">
      <w:pPr>
        <w:suppressAutoHyphens w:val="0"/>
        <w:ind w:left="207"/>
        <w:rPr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17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Выбрать необходимые разделы проектной и рабочей документации, согласно ГОСТ Р 21.1101-2013 из прилагаемых таблиц.</w:t>
      </w:r>
    </w:p>
    <w:p w:rsidR="00E92855" w:rsidRPr="002662F5" w:rsidRDefault="00E92855" w:rsidP="00E92855">
      <w:pPr>
        <w:suppressAutoHyphens w:val="0"/>
        <w:ind w:left="207"/>
        <w:rPr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rPr>
          <w:b/>
          <w:sz w:val="22"/>
          <w:szCs w:val="22"/>
          <w:lang w:eastAsia="ru-RU"/>
        </w:rPr>
      </w:pPr>
    </w:p>
    <w:p w:rsidR="00E92855" w:rsidRDefault="00E92855" w:rsidP="00E92855">
      <w:pPr>
        <w:pStyle w:val="FORMATTEXT"/>
        <w:ind w:firstLine="568"/>
        <w:jc w:val="both"/>
      </w:pPr>
      <w:r w:rsidRPr="002662F5">
        <w:rPr>
          <w:sz w:val="28"/>
          <w:szCs w:val="28"/>
        </w:rPr>
        <w:t> Шифры разделов проектной документации</w:t>
      </w:r>
      <w:r>
        <w:rPr>
          <w:sz w:val="28"/>
          <w:szCs w:val="28"/>
        </w:rPr>
        <w:t xml:space="preserve"> (</w:t>
      </w:r>
      <w:r w:rsidRPr="009F1F0E">
        <w:rPr>
          <w:b/>
          <w:i/>
          <w:sz w:val="28"/>
          <w:szCs w:val="28"/>
        </w:rPr>
        <w:t>Стадия П</w:t>
      </w:r>
      <w:r>
        <w:rPr>
          <w:sz w:val="28"/>
          <w:szCs w:val="28"/>
        </w:rPr>
        <w:t>)</w:t>
      </w:r>
      <w:r w:rsidRPr="002662F5">
        <w:rPr>
          <w:sz w:val="28"/>
          <w:szCs w:val="28"/>
        </w:rPr>
        <w:t xml:space="preserve"> на </w:t>
      </w:r>
      <w:r w:rsidRPr="009F1F0E">
        <w:rPr>
          <w:b/>
          <w:i/>
          <w:sz w:val="28"/>
          <w:szCs w:val="28"/>
        </w:rPr>
        <w:t>объекты капитального строительства</w:t>
      </w:r>
      <w:r w:rsidRPr="002662F5">
        <w:rPr>
          <w:sz w:val="28"/>
          <w:szCs w:val="28"/>
        </w:rPr>
        <w:t xml:space="preserve"> производственного и непроизводственного назначения приведены в таблице А.1.</w:t>
      </w:r>
      <w:r>
        <w:t xml:space="preserve"> </w:t>
      </w:r>
    </w:p>
    <w:p w:rsidR="00E92855" w:rsidRDefault="00E92855" w:rsidP="00E92855">
      <w:pPr>
        <w:pStyle w:val="FORMATTEXT"/>
        <w:ind w:firstLine="568"/>
        <w:jc w:val="both"/>
      </w:pPr>
    </w:p>
    <w:p w:rsidR="00E92855" w:rsidRDefault="00E92855" w:rsidP="00E92855">
      <w:pPr>
        <w:pStyle w:val="FORMATTEXT"/>
        <w:ind w:firstLine="568"/>
        <w:jc w:val="both"/>
      </w:pPr>
    </w:p>
    <w:p w:rsidR="00E92855" w:rsidRDefault="00E92855" w:rsidP="00E92855">
      <w:pPr>
        <w:pStyle w:val="FORMATTEXT"/>
        <w:ind w:firstLine="568"/>
        <w:jc w:val="both"/>
      </w:pPr>
    </w:p>
    <w:p w:rsidR="00E92855" w:rsidRDefault="00E92855" w:rsidP="00E92855">
      <w:pPr>
        <w:pStyle w:val="FORMATTEXT"/>
        <w:ind w:firstLine="568"/>
        <w:jc w:val="both"/>
      </w:pPr>
    </w:p>
    <w:p w:rsidR="00E92855" w:rsidRDefault="00E92855" w:rsidP="00E92855">
      <w:pPr>
        <w:pStyle w:val="FORMATTEXT"/>
        <w:ind w:firstLine="568"/>
        <w:jc w:val="both"/>
      </w:pPr>
    </w:p>
    <w:p w:rsidR="00E92855" w:rsidRDefault="00E92855" w:rsidP="00E92855">
      <w:pPr>
        <w:pStyle w:val="FORMATTEXT"/>
        <w:ind w:firstLine="568"/>
        <w:jc w:val="both"/>
      </w:pPr>
    </w:p>
    <w:p w:rsidR="00E92855" w:rsidRDefault="00E92855" w:rsidP="00E92855">
      <w:pPr>
        <w:pStyle w:val="FORMATTEXT"/>
        <w:jc w:val="right"/>
      </w:pPr>
      <w:r>
        <w:lastRenderedPageBreak/>
        <w:t>Таблица А.1</w:t>
      </w:r>
    </w:p>
    <w:p w:rsidR="00E92855" w:rsidRDefault="00E92855" w:rsidP="00E92855">
      <w:pPr>
        <w:pStyle w:val="FORMATTEXT"/>
        <w:jc w:val="both"/>
      </w:pPr>
      <w:r>
        <w:t xml:space="preserve"> </w:t>
      </w:r>
    </w:p>
    <w:tbl>
      <w:tblPr>
        <w:tblW w:w="10548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2"/>
        <w:gridCol w:w="7350"/>
        <w:gridCol w:w="1956"/>
      </w:tblGrid>
      <w:tr w:rsidR="00E92855" w:rsidRPr="00777278" w:rsidTr="00E92855">
        <w:trPr>
          <w:trHeight w:val="5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9F1F0E" w:rsidRDefault="00E92855" w:rsidP="005A15F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9F1F0E">
              <w:rPr>
                <w:b/>
              </w:rPr>
              <w:t xml:space="preserve"> раздела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9F1F0E" w:rsidRDefault="00E92855" w:rsidP="00E92855">
            <w:pPr>
              <w:pStyle w:val="ad"/>
              <w:jc w:val="center"/>
              <w:rPr>
                <w:b/>
              </w:rPr>
            </w:pPr>
            <w:r w:rsidRPr="009F1F0E">
              <w:rPr>
                <w:b/>
              </w:rPr>
              <w:t xml:space="preserve">Наименование раздела проектной документации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9F1F0E" w:rsidRDefault="00E92855" w:rsidP="005A15F3">
            <w:pPr>
              <w:pStyle w:val="FORMATTEXT"/>
              <w:jc w:val="center"/>
              <w:rPr>
                <w:b/>
              </w:rPr>
            </w:pPr>
            <w:r w:rsidRPr="009F1F0E">
              <w:rPr>
                <w:b/>
              </w:rPr>
              <w:t>Шифр раздела</w:t>
            </w:r>
          </w:p>
          <w:p w:rsidR="00E92855" w:rsidRPr="009F1F0E" w:rsidRDefault="00E92855" w:rsidP="00E92855">
            <w:pPr>
              <w:pStyle w:val="ad"/>
              <w:jc w:val="center"/>
              <w:rPr>
                <w:b/>
              </w:rPr>
            </w:pPr>
            <w:r w:rsidRPr="009F1F0E">
              <w:rPr>
                <w:b/>
              </w:rPr>
              <w:t xml:space="preserve"> </w:t>
            </w:r>
          </w:p>
        </w:tc>
      </w:tr>
      <w:tr w:rsidR="00E92855" w:rsidRPr="00777278" w:rsidTr="00E92855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1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Пояснительная записка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ПЗ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2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 xml:space="preserve">Схема планировочной организации земельного участка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ПЗУ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3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Архитектурные решения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АР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4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Конструктивные и объемно-планировочные решения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КР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ИОС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6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Проект организации строительства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ПОС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7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Проект организации работ по сносу или демонтажу объектов капитального строительства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ПОД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8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Перечень мероприятий по охране окружающей среды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ООС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9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Мероприятия по обеспечению пожарной безопасности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ПБ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10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Мероприятия по обеспечению доступа инвалидов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ОДИ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10</w:t>
            </w:r>
            <w:r>
              <w:rPr>
                <w:noProof/>
                <w:position w:val="-8"/>
              </w:rPr>
              <w:drawing>
                <wp:inline distT="0" distB="0" distL="0" distR="0" wp14:anchorId="4A118015" wp14:editId="1C6B91AE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278">
              <w:t xml:space="preserve">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Требования к обеспечению безопасной эксплуатации объекта капитального строительства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ТБЭ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11 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Смета на строительство объектов капитального строительства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СМ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11</w:t>
            </w:r>
            <w:r>
              <w:rPr>
                <w:noProof/>
                <w:position w:val="-8"/>
              </w:rPr>
              <w:drawing>
                <wp:inline distT="0" distB="0" distL="0" distR="0" wp14:anchorId="65C070D6" wp14:editId="22B5BD87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278">
              <w:t xml:space="preserve">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ЭЭ 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12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Иная документация в случаях, предусмотренных федеральными законами, в том числе: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ГОЧС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Декларация промышленной безопасности опасных производственных объектов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ДПБ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Декларация безопасности гидротехнических сооружений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ДБГ</w:t>
            </w:r>
          </w:p>
        </w:tc>
      </w:tr>
      <w:tr w:rsidR="00E92855" w:rsidRPr="00777278" w:rsidTr="00E92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Иная документация, установленная законодательными актами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71" w:type="dxa"/>
              <w:bottom w:w="57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92855" w:rsidRDefault="00E92855" w:rsidP="00E92855">
      <w:pPr>
        <w:pStyle w:val="ad"/>
      </w:pPr>
    </w:p>
    <w:p w:rsidR="00E92855" w:rsidRPr="009F1F0E" w:rsidRDefault="00E92855" w:rsidP="00E92855">
      <w:pPr>
        <w:pStyle w:val="FORMATTEXT"/>
        <w:ind w:firstLine="568"/>
        <w:jc w:val="both"/>
        <w:rPr>
          <w:sz w:val="28"/>
          <w:szCs w:val="28"/>
        </w:rPr>
      </w:pPr>
      <w:r w:rsidRPr="009F1F0E">
        <w:rPr>
          <w:sz w:val="28"/>
          <w:szCs w:val="28"/>
        </w:rPr>
        <w:t xml:space="preserve">А.2 Шифры разделов проектной документации </w:t>
      </w:r>
      <w:r>
        <w:rPr>
          <w:sz w:val="28"/>
          <w:szCs w:val="28"/>
        </w:rPr>
        <w:t>(</w:t>
      </w:r>
      <w:r w:rsidRPr="009F1F0E">
        <w:rPr>
          <w:b/>
          <w:i/>
          <w:sz w:val="28"/>
          <w:szCs w:val="28"/>
        </w:rPr>
        <w:t>стадия П</w:t>
      </w:r>
      <w:r>
        <w:rPr>
          <w:sz w:val="28"/>
          <w:szCs w:val="28"/>
        </w:rPr>
        <w:t xml:space="preserve">) </w:t>
      </w:r>
      <w:r w:rsidRPr="009F1F0E">
        <w:rPr>
          <w:sz w:val="28"/>
          <w:szCs w:val="28"/>
        </w:rPr>
        <w:t xml:space="preserve">на </w:t>
      </w:r>
      <w:r w:rsidRPr="009F1F0E">
        <w:rPr>
          <w:b/>
          <w:i/>
          <w:sz w:val="28"/>
          <w:szCs w:val="28"/>
        </w:rPr>
        <w:t>линейные объекты</w:t>
      </w:r>
      <w:r w:rsidRPr="009F1F0E">
        <w:rPr>
          <w:sz w:val="28"/>
          <w:szCs w:val="28"/>
        </w:rPr>
        <w:t xml:space="preserve"> приведены в таблице А.2.</w:t>
      </w:r>
      <w:r>
        <w:rPr>
          <w:sz w:val="28"/>
          <w:szCs w:val="28"/>
        </w:rPr>
        <w:t xml:space="preserve">  (имеются ввиду внеплощадочные сети)</w:t>
      </w:r>
    </w:p>
    <w:p w:rsidR="00E92855" w:rsidRDefault="00E92855" w:rsidP="00E92855">
      <w:pPr>
        <w:pStyle w:val="FORMATTEXT"/>
        <w:ind w:firstLine="568"/>
        <w:jc w:val="both"/>
      </w:pPr>
      <w:r>
        <w:t xml:space="preserve"> </w:t>
      </w:r>
    </w:p>
    <w:p w:rsidR="00E92855" w:rsidRDefault="00E92855" w:rsidP="00E92855">
      <w:pPr>
        <w:pStyle w:val="FORMATTEXT"/>
        <w:jc w:val="right"/>
      </w:pPr>
      <w:r>
        <w:t>Таблица А.2</w:t>
      </w:r>
    </w:p>
    <w:p w:rsidR="00E92855" w:rsidRDefault="00E92855" w:rsidP="00E92855">
      <w:pPr>
        <w:pStyle w:val="FORMATTEXT"/>
        <w:jc w:val="both"/>
      </w:pPr>
      <w:r>
        <w:lastRenderedPageBreak/>
        <w:t xml:space="preserve">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00"/>
        <w:gridCol w:w="7122"/>
        <w:gridCol w:w="1984"/>
      </w:tblGrid>
      <w:tr w:rsidR="00E92855" w:rsidRPr="00777278" w:rsidTr="00E92855">
        <w:trPr>
          <w:trHeight w:val="584"/>
        </w:trPr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9F1F0E" w:rsidRDefault="00E92855" w:rsidP="005A15F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9F1F0E">
              <w:rPr>
                <w:b/>
              </w:rPr>
              <w:t xml:space="preserve">раздела 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9F1F0E" w:rsidRDefault="00E92855" w:rsidP="005A15F3">
            <w:pPr>
              <w:pStyle w:val="ad"/>
              <w:jc w:val="center"/>
              <w:rPr>
                <w:b/>
              </w:rPr>
            </w:pPr>
            <w:r w:rsidRPr="009F1F0E">
              <w:rPr>
                <w:b/>
              </w:rPr>
              <w:t xml:space="preserve">Наименование раздела проектной документации 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9F1F0E" w:rsidRDefault="00E92855" w:rsidP="005A15F3">
            <w:pPr>
              <w:pStyle w:val="FORMATTEXT"/>
              <w:jc w:val="center"/>
              <w:rPr>
                <w:b/>
              </w:rPr>
            </w:pPr>
            <w:r w:rsidRPr="009F1F0E">
              <w:rPr>
                <w:b/>
              </w:rPr>
              <w:t>Шифр раздела</w:t>
            </w: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1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Пояснительная записка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ПЗ </w:t>
            </w: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2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Проект полосы отвода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ППО </w:t>
            </w: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3 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Технологические и конструктивные решения линейного объекта. Искусственные сооружения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ТКР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4 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Здания, строения и сооружения, входящие в инфраструктуру линейного объекта*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ИЛО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5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Проект организации строительства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ПОС</w:t>
            </w: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6 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Проект организации работ по сносу (демонтажу) линейного объекта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ПОД </w:t>
            </w: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7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Мероприятия по охране окружающей среды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ООС</w:t>
            </w: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8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Мероприятия по обеспечению пожарной безопасности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ПБ</w:t>
            </w: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9</w:t>
            </w: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Смета на строительство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СМ </w:t>
            </w: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10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Иная документация в случаях, предусмотренных федеральными законами, в том числе: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ГОЧС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Декларация промышленной безопасности опасных производственных объектов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ДПБ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E92855">
        <w:tc>
          <w:tcPr>
            <w:tcW w:w="11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 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Декларация безопасности гидротехнических сооружений</w:t>
            </w:r>
          </w:p>
        </w:tc>
        <w:tc>
          <w:tcPr>
            <w:tcW w:w="198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ДБГ </w:t>
            </w:r>
          </w:p>
        </w:tc>
      </w:tr>
    </w:tbl>
    <w:p w:rsidR="00E92855" w:rsidRDefault="00E92855" w:rsidP="00E92855">
      <w:pPr>
        <w:pStyle w:val="ad"/>
      </w:pPr>
    </w:p>
    <w:p w:rsidR="00E92855" w:rsidRDefault="00E92855" w:rsidP="00E92855">
      <w:pPr>
        <w:pStyle w:val="FORMATTEXT"/>
        <w:ind w:firstLine="568"/>
        <w:jc w:val="both"/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</w:p>
    <w:p w:rsidR="00E92855" w:rsidRDefault="00E92855" w:rsidP="00E9285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92855" w:rsidRPr="009F1F0E" w:rsidRDefault="00E92855" w:rsidP="00E92855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9F1F0E">
        <w:rPr>
          <w:b/>
          <w:bCs/>
          <w:color w:val="000001"/>
          <w:sz w:val="28"/>
          <w:szCs w:val="28"/>
        </w:rPr>
        <w:lastRenderedPageBreak/>
        <w:t xml:space="preserve"> Марки основных комплектов рабочих чертежей (</w:t>
      </w:r>
      <w:r w:rsidRPr="009F1F0E">
        <w:rPr>
          <w:b/>
          <w:bCs/>
          <w:i/>
          <w:color w:val="000001"/>
          <w:sz w:val="28"/>
          <w:szCs w:val="28"/>
        </w:rPr>
        <w:t>Стадия Р</w:t>
      </w:r>
      <w:r w:rsidRPr="009F1F0E">
        <w:rPr>
          <w:b/>
          <w:bCs/>
          <w:color w:val="000001"/>
          <w:sz w:val="28"/>
          <w:szCs w:val="28"/>
        </w:rPr>
        <w:t>)</w:t>
      </w:r>
    </w:p>
    <w:p w:rsidR="00E92855" w:rsidRDefault="00E92855" w:rsidP="00E92855">
      <w:pPr>
        <w:pStyle w:val="FORMATTEXT"/>
        <w:jc w:val="right"/>
      </w:pPr>
      <w:r>
        <w:t>Таблица Б.1</w:t>
      </w:r>
    </w:p>
    <w:p w:rsidR="00E92855" w:rsidRDefault="00E92855" w:rsidP="00E9285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3402"/>
      </w:tblGrid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9F1F0E" w:rsidRDefault="00E92855" w:rsidP="005A15F3">
            <w:pPr>
              <w:pStyle w:val="FORMATTEXT"/>
              <w:jc w:val="center"/>
              <w:rPr>
                <w:b/>
              </w:rPr>
            </w:pPr>
            <w:r w:rsidRPr="009F1F0E">
              <w:rPr>
                <w:b/>
              </w:rPr>
              <w:t>Наименование основного комплекта рабочих чертежей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9F1F0E" w:rsidRDefault="00E92855" w:rsidP="005A15F3">
            <w:pPr>
              <w:pStyle w:val="ad"/>
              <w:jc w:val="center"/>
              <w:rPr>
                <w:b/>
              </w:rPr>
            </w:pPr>
            <w:r w:rsidRPr="009F1F0E">
              <w:rPr>
                <w:b/>
              </w:rPr>
              <w:t xml:space="preserve">Марка </w:t>
            </w:r>
          </w:p>
          <w:p w:rsidR="00E92855" w:rsidRPr="009F1F0E" w:rsidRDefault="00E92855" w:rsidP="005A15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9F1F0E" w:rsidRDefault="00E92855" w:rsidP="005A15F3">
            <w:pPr>
              <w:pStyle w:val="ad"/>
              <w:jc w:val="center"/>
              <w:rPr>
                <w:b/>
              </w:rPr>
            </w:pPr>
            <w:r w:rsidRPr="009F1F0E">
              <w:rPr>
                <w:b/>
              </w:rPr>
              <w:t xml:space="preserve">Примечание </w:t>
            </w:r>
          </w:p>
          <w:p w:rsidR="00E92855" w:rsidRPr="009F1F0E" w:rsidRDefault="00E92855" w:rsidP="005A15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>Генеральный план и сооружения транспорта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Г Т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При объединении рабочих чертежей генерального плана и сооружений транспорта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Генеральный план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ГП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Автомобильные дороги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АД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Железнодорожные пути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ПЖ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>Сооружения транспорта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ТР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При объединении рабочих чертежей автомобильных, железных и других дорог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Архитектурно-строительные решения 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АС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>При объединении рабочих чертежей архитектурных и конструктивных решений (кроме КМ)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Архитектурные решения 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АР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Интерьеры 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АИ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Конструкции железобетонные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КЖ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Конструкции металлические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КМ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Конструкции металлические деталировочные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КМД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Конструкции деревянные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КД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Гидротехнические решения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ГР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Антикоррозионная защита конструкций зданий, сооружений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AЗ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Электроснабжение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ЭС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Наружное электроосвещение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ЭН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Силовое электрооборудование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ЭМ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Электрическое освещение (внутреннее)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ЭО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Наружные сети водоснабжения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НВ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lastRenderedPageBreak/>
              <w:t>Наружные сети канализации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НК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>Наружные сети водоснабжения и канализации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НВК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Внутренние системы водоснабжения и канализации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ВК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Пожаротушение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ПТ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Отопление, вентиляция и кондиционирование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ОВ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Воздухоснабжение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ВС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Пылеудаление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ПУ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Холодоснабжение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ХС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Тепломеханические решения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ТМ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Котельных, ТЭЦ и т.п.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Тепломеханические решения тепловых сетей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ТС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Проводные средства связи* 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>ГОСТ Р 21.1703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Радиосвязь, радиовещание и телевидение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РТ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Пожарная сигнализация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ПС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Охранная и охранно-пожарная сигнализация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ОС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Наружные газопроводы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ГСН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-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Газоснабжение (внутренние устройства)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ГСВ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Технология производства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>ТХ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>Технологические коммуникации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ТК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Антикоррозионная защита технологических аппаратов, газоходов и трубопроводов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АЗО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  <w:r w:rsidRPr="00777278">
              <w:t>Тепловая изоляция оборудования и трубопроводов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ТИ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- </w:t>
            </w:r>
          </w:p>
          <w:p w:rsidR="00E92855" w:rsidRPr="00777278" w:rsidRDefault="00E92855" w:rsidP="005A15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2855" w:rsidRPr="00777278" w:rsidTr="005A15F3"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</w:pPr>
            <w:r w:rsidRPr="00777278">
              <w:t xml:space="preserve">Автоматизация комплексная </w:t>
            </w:r>
          </w:p>
        </w:tc>
        <w:tc>
          <w:tcPr>
            <w:tcW w:w="155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ad"/>
              <w:jc w:val="center"/>
            </w:pPr>
            <w:r w:rsidRPr="00777278">
              <w:t xml:space="preserve">АК </w:t>
            </w:r>
          </w:p>
        </w:tc>
        <w:tc>
          <w:tcPr>
            <w:tcW w:w="34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92855" w:rsidRPr="00777278" w:rsidRDefault="00E92855" w:rsidP="005A15F3">
            <w:pPr>
              <w:pStyle w:val="FORMATTEXT"/>
            </w:pPr>
          </w:p>
        </w:tc>
      </w:tr>
    </w:tbl>
    <w:p w:rsidR="00E92855" w:rsidRDefault="00E92855" w:rsidP="00E92855">
      <w:pPr>
        <w:pStyle w:val="ad"/>
      </w:pPr>
    </w:p>
    <w:p w:rsidR="00E92855" w:rsidRDefault="00E92855" w:rsidP="00E92855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92855" w:rsidRDefault="00E92855" w:rsidP="00E92855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92855" w:rsidRDefault="00E92855" w:rsidP="00E92855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92855" w:rsidRDefault="00E92855" w:rsidP="00E92855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92855" w:rsidRDefault="00E92855" w:rsidP="00E92855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92855" w:rsidRDefault="00E92855" w:rsidP="00E92855">
      <w:pPr>
        <w:suppressAutoHyphens w:val="0"/>
        <w:jc w:val="right"/>
        <w:rPr>
          <w:b/>
          <w:sz w:val="22"/>
          <w:szCs w:val="22"/>
          <w:lang w:eastAsia="ru-RU"/>
        </w:rPr>
      </w:pPr>
      <w:bookmarkStart w:id="0" w:name="_GoBack"/>
      <w:bookmarkEnd w:id="0"/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lastRenderedPageBreak/>
        <w:t>По п.</w:t>
      </w:r>
      <w:r>
        <w:rPr>
          <w:b/>
          <w:i/>
          <w:sz w:val="28"/>
          <w:szCs w:val="28"/>
          <w:lang w:eastAsia="ru-RU"/>
        </w:rPr>
        <w:t>18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Например:</w:t>
      </w:r>
    </w:p>
    <w:p w:rsidR="00E92855" w:rsidRPr="00CD71E8" w:rsidRDefault="00E92855" w:rsidP="00E92855">
      <w:pPr>
        <w:pStyle w:val="ae"/>
        <w:numPr>
          <w:ilvl w:val="0"/>
          <w:numId w:val="4"/>
        </w:numPr>
        <w:suppressAutoHyphens w:val="0"/>
        <w:ind w:left="567" w:hanging="283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CD71E8">
        <w:rPr>
          <w:sz w:val="28"/>
          <w:szCs w:val="28"/>
        </w:rPr>
        <w:t>Рабочую документацию выполнить в объёме, необходимом для проведения работ по реализации в процессе строительства архитектурных, технических и технологических решений. Разработать рабочие чертежи, технологические узлы и детали, как по общестроительным, так и по специальным направлениям, спецификации оборудования и изделий</w:t>
      </w:r>
    </w:p>
    <w:p w:rsidR="00E92855" w:rsidRPr="00CD71E8" w:rsidRDefault="00E92855" w:rsidP="00E92855">
      <w:pPr>
        <w:pStyle w:val="ae"/>
        <w:numPr>
          <w:ilvl w:val="0"/>
          <w:numId w:val="4"/>
        </w:numPr>
        <w:ind w:left="567" w:right="72" w:hanging="283"/>
        <w:jc w:val="both"/>
        <w:rPr>
          <w:sz w:val="28"/>
          <w:szCs w:val="28"/>
        </w:rPr>
      </w:pPr>
      <w:r w:rsidRPr="00CD71E8">
        <w:rPr>
          <w:sz w:val="28"/>
          <w:szCs w:val="28"/>
        </w:rPr>
        <w:t>Проектной документацией должно быть предусмотрено выполнение всех условий, отражённых в ранее выданных и дополнительно полученных технических условиях.</w:t>
      </w:r>
    </w:p>
    <w:p w:rsidR="00E92855" w:rsidRPr="00861169" w:rsidRDefault="00E92855" w:rsidP="00E92855">
      <w:pPr>
        <w:pStyle w:val="ae"/>
        <w:numPr>
          <w:ilvl w:val="0"/>
          <w:numId w:val="4"/>
        </w:numPr>
        <w:ind w:left="567" w:right="72" w:hanging="283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В случае внесения изменений в действующие нормативы в процессе разработки проектной и рабочей документации – проектировщик вносит необходимые изменения в проектную и рабочую документацию в пределах стоимости договора.</w:t>
      </w:r>
    </w:p>
    <w:p w:rsidR="00E92855" w:rsidRPr="00861169" w:rsidRDefault="00E92855" w:rsidP="00E92855">
      <w:pPr>
        <w:pStyle w:val="ae"/>
        <w:numPr>
          <w:ilvl w:val="0"/>
          <w:numId w:val="4"/>
        </w:numPr>
        <w:ind w:left="567" w:right="72" w:hanging="283"/>
        <w:jc w:val="both"/>
        <w:rPr>
          <w:sz w:val="28"/>
          <w:szCs w:val="28"/>
        </w:rPr>
      </w:pPr>
      <w:r w:rsidRPr="00861169">
        <w:rPr>
          <w:sz w:val="28"/>
          <w:szCs w:val="28"/>
        </w:rPr>
        <w:t xml:space="preserve">Проектную и рабочую документацию, с внесенными исправлениями по замечаниям экспертиз, сброшюровать и выдать в </w:t>
      </w:r>
      <w:r>
        <w:rPr>
          <w:sz w:val="28"/>
          <w:szCs w:val="28"/>
        </w:rPr>
        <w:t>4</w:t>
      </w:r>
      <w:r w:rsidRPr="00861169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861169">
        <w:rPr>
          <w:sz w:val="28"/>
          <w:szCs w:val="28"/>
        </w:rPr>
        <w:t xml:space="preserve"> экземплярах на бумажном носителе и 2 (два) экземпляра на электронном носителе (один в отсканированном виде, заверенный подписями и печатями в формате pdf, второй – в формате dwg). </w:t>
      </w:r>
    </w:p>
    <w:p w:rsidR="00E92855" w:rsidRPr="00861169" w:rsidRDefault="00E92855" w:rsidP="00E92855">
      <w:pPr>
        <w:pStyle w:val="ae"/>
        <w:numPr>
          <w:ilvl w:val="0"/>
          <w:numId w:val="4"/>
        </w:numPr>
        <w:ind w:left="567" w:right="72" w:hanging="283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В электронной версии необходимо предусмотреть следующее:</w:t>
      </w:r>
    </w:p>
    <w:p w:rsidR="00E92855" w:rsidRPr="00861169" w:rsidRDefault="00E92855" w:rsidP="00E92855">
      <w:pPr>
        <w:ind w:left="567" w:right="72" w:hanging="283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одна книга документации размещается в одной папке, в которой находятся несколько файлов (текстовые и графические приложения);</w:t>
      </w:r>
    </w:p>
    <w:p w:rsidR="00E92855" w:rsidRPr="00861169" w:rsidRDefault="00E92855" w:rsidP="00E92855">
      <w:pPr>
        <w:ind w:left="567" w:right="72" w:hanging="283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наименование файлов должно соответствовать наименованию на титульном листе и составу проекта, допускаются сокращение имен папок и файлов;</w:t>
      </w:r>
    </w:p>
    <w:p w:rsidR="00E92855" w:rsidRPr="00861169" w:rsidRDefault="00E92855" w:rsidP="00E92855">
      <w:pPr>
        <w:ind w:left="567" w:right="72" w:hanging="283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формат представления текстовой части должен обеспечивать возможность копирования текста;</w:t>
      </w:r>
    </w:p>
    <w:p w:rsidR="00E92855" w:rsidRPr="00861169" w:rsidRDefault="00E92855" w:rsidP="00E92855">
      <w:pPr>
        <w:ind w:left="567" w:right="72" w:hanging="283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графическая часть должна соответствовать бумажному оригиналу, как по масштабу, так и по цветовому отображению;</w:t>
      </w:r>
    </w:p>
    <w:p w:rsidR="00E92855" w:rsidRPr="00861169" w:rsidRDefault="00E92855" w:rsidP="00E92855">
      <w:pPr>
        <w:pStyle w:val="ae"/>
        <w:numPr>
          <w:ilvl w:val="0"/>
          <w:numId w:val="4"/>
        </w:numPr>
        <w:suppressAutoHyphens w:val="0"/>
        <w:ind w:left="567" w:hanging="283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Ч</w:t>
      </w:r>
      <w:r w:rsidRPr="00861169">
        <w:rPr>
          <w:sz w:val="28"/>
          <w:szCs w:val="28"/>
        </w:rPr>
        <w:t xml:space="preserve">ертежи, титульные листы томов должны быть продублированы в виде отсканированных образов документов, с подписями разработчиков и представлены в формате pdf.   </w:t>
      </w:r>
    </w:p>
    <w:p w:rsidR="00E92855" w:rsidRDefault="00E92855" w:rsidP="00E9285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19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Например:</w:t>
      </w:r>
    </w:p>
    <w:p w:rsidR="00E92855" w:rsidRPr="00861169" w:rsidRDefault="00E92855" w:rsidP="00E92855">
      <w:pPr>
        <w:ind w:right="72"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Сводный сметный расчёт разработать в двух уровнях цен: текущем и базисном 2001г. Стоимость в текущем уровне цен определить на дату выдачи проектно-сметной документации.</w:t>
      </w:r>
    </w:p>
    <w:p w:rsidR="00E92855" w:rsidRPr="00861169" w:rsidRDefault="00E92855" w:rsidP="00E92855">
      <w:pPr>
        <w:ind w:right="72"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Локальные сметы выполнить в базисных ценах 2001 года.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Сметные расчёты, содержащиеся в документации, должны соответствовать физическим объёмам работ, конструктивным, организационно-технологическим и другим решениям, предусмотренным проектной и рабочей документацией. Применение в сметных расчётах объектов-аналогов не допускается. Применение лимитированных затрат согласовывается Заказчиком.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 xml:space="preserve">      В сметной документации разработать для прохождения государственной экспертизы следующие альбомы: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 xml:space="preserve">- протоколы согласования цен; 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прайс-листы, подтверждены Заказчиком;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lastRenderedPageBreak/>
        <w:t xml:space="preserve">- спецификации. 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В раздел сводного сметного расчёта стоимости строительства включить следующие затраты: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пусконаладочные работы «вхолостую»;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обследование земельного участка и сопровождение земляных работ на наличие взрывоопасных предметов;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разбивку осей трасс и сооружений;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 xml:space="preserve">- изготовление технического описания и кадастрового паспорта на построенный объект (с предоставлением расчётов специализированной организации); 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компенсацию на восстановление дорожного покрытия, благоустройства;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затраты по сносу и компенсации восстановительной стоимости зелёных насаждений;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компенсацию стоимости сносимых строений и сооружений, попадающих в зону строительства (при необходимости);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на технологическое присоединение, согласно ТУ ресурсообеспечивающих организаций;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на покрытие затрат строительных организаций по платежам на добровольное страхование;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 xml:space="preserve">- на проведение государственной экспертизы проектной документации и проверки достоверности определения сметной стоимости объекта в соответствии с постановлениями Правительства РФ № 427 от 18 мая </w:t>
      </w:r>
      <w:smartTag w:uri="urn:schemas-microsoft-com:office:smarttags" w:element="metricconverter">
        <w:smartTagPr>
          <w:attr w:name="ProductID" w:val="2009 г"/>
        </w:smartTagPr>
        <w:r w:rsidRPr="00861169">
          <w:rPr>
            <w:sz w:val="28"/>
            <w:szCs w:val="28"/>
          </w:rPr>
          <w:t>2009 г</w:t>
        </w:r>
      </w:smartTag>
      <w:r w:rsidRPr="00861169">
        <w:rPr>
          <w:sz w:val="28"/>
          <w:szCs w:val="28"/>
        </w:rPr>
        <w:t>. и № 145 от 05.03.2007 г.;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- резерв средств на непредвиденные работы.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 xml:space="preserve">Сметную документацию сброшюровать и выдать в </w:t>
      </w:r>
      <w:r>
        <w:rPr>
          <w:sz w:val="28"/>
          <w:szCs w:val="28"/>
        </w:rPr>
        <w:t>4</w:t>
      </w:r>
      <w:r w:rsidRPr="00861169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861169">
        <w:rPr>
          <w:sz w:val="28"/>
          <w:szCs w:val="28"/>
        </w:rPr>
        <w:t xml:space="preserve"> экземплярах на бумажном носителе и 2 (два) экземпляра на электронном носителе.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На одном электронном носителе (диске) разместить следующее:</w:t>
      </w:r>
    </w:p>
    <w:p w:rsidR="00E92855" w:rsidRPr="00861169" w:rsidRDefault="00E92855" w:rsidP="00E92855">
      <w:pPr>
        <w:snapToGrid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1.1. Сводный, сметные расчеты, ведомости объемов работ, прайс-листы должны быть представлен в формате *.doc (*.docx) и с подписями и печатями продублирован в формате *.pdf.</w:t>
      </w:r>
    </w:p>
    <w:p w:rsidR="00E92855" w:rsidRPr="00861169" w:rsidRDefault="00E92855" w:rsidP="00E92855">
      <w:pPr>
        <w:suppressAutoHyphens w:val="0"/>
        <w:ind w:left="1134" w:hanging="1134"/>
        <w:jc w:val="both"/>
        <w:rPr>
          <w:sz w:val="28"/>
          <w:szCs w:val="28"/>
          <w:lang w:eastAsia="ru-RU"/>
        </w:rPr>
      </w:pPr>
      <w:r w:rsidRPr="00861169">
        <w:rPr>
          <w:sz w:val="28"/>
          <w:szCs w:val="28"/>
        </w:rPr>
        <w:t xml:space="preserve">1.2. Сметные расчеты отобразить в программе </w:t>
      </w:r>
      <w:r>
        <w:rPr>
          <w:sz w:val="28"/>
          <w:szCs w:val="28"/>
        </w:rPr>
        <w:t>Гранд-Смета</w:t>
      </w:r>
      <w:r w:rsidRPr="00861169">
        <w:rPr>
          <w:sz w:val="28"/>
          <w:szCs w:val="28"/>
        </w:rPr>
        <w:t>.</w:t>
      </w:r>
    </w:p>
    <w:p w:rsidR="00E92855" w:rsidRPr="00861169" w:rsidRDefault="00E92855" w:rsidP="00E9285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20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Например:</w:t>
      </w:r>
    </w:p>
    <w:p w:rsidR="00E92855" w:rsidRPr="00861169" w:rsidRDefault="00E92855" w:rsidP="00E92855">
      <w:pPr>
        <w:ind w:right="72"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Все решения, обоюдно принимаемые в процессе проектирования, оформляются протоколами совещаний.</w:t>
      </w:r>
    </w:p>
    <w:p w:rsidR="00E92855" w:rsidRPr="00861169" w:rsidRDefault="00E92855" w:rsidP="00E92855">
      <w:pPr>
        <w:ind w:right="72"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Всё предусмотренное в Техническом задании на проектирование входит в состав стоимости работ по контракту.</w:t>
      </w:r>
    </w:p>
    <w:p w:rsidR="00E92855" w:rsidRPr="00861169" w:rsidRDefault="00E92855" w:rsidP="00E92855">
      <w:pPr>
        <w:ind w:right="72"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Не входит в цену контракта стоимость проведения государственных экспертиз и затраты на проведение проверки достоверности определения сметной стоимости объекта.</w:t>
      </w:r>
    </w:p>
    <w:p w:rsidR="00E92855" w:rsidRDefault="00E92855" w:rsidP="00E92855">
      <w:pPr>
        <w:suppressAutoHyphens w:val="0"/>
        <w:ind w:firstLine="252"/>
        <w:jc w:val="both"/>
        <w:rPr>
          <w:sz w:val="28"/>
          <w:szCs w:val="28"/>
        </w:rPr>
      </w:pPr>
      <w:r w:rsidRPr="00861169">
        <w:rPr>
          <w:sz w:val="28"/>
          <w:szCs w:val="28"/>
        </w:rPr>
        <w:t>Сдача проектной документации на Государственную экологическая экспертиза,  Государственная экспертиза проекта и проверка достоверности смет государственную экспертизу производится проектировщиком совместно с заказчиком. Защиту проектных решений, пояснения, предоставление дополнительных материалов и расчетов проектировщик осуществляет самостоятельно по доверенности от Заказчика.</w:t>
      </w:r>
    </w:p>
    <w:p w:rsidR="00E92855" w:rsidRDefault="00E92855" w:rsidP="00E92855">
      <w:pPr>
        <w:suppressAutoHyphens w:val="0"/>
        <w:ind w:firstLine="252"/>
        <w:jc w:val="both"/>
        <w:rPr>
          <w:sz w:val="28"/>
          <w:szCs w:val="28"/>
        </w:rPr>
      </w:pPr>
    </w:p>
    <w:p w:rsidR="00E92855" w:rsidRDefault="00E92855" w:rsidP="00E92855">
      <w:pPr>
        <w:suppressAutoHyphens w:val="0"/>
        <w:ind w:left="1134" w:hanging="1134"/>
        <w:rPr>
          <w:sz w:val="28"/>
          <w:szCs w:val="28"/>
          <w:lang w:eastAsia="ru-RU"/>
        </w:rPr>
      </w:pPr>
      <w:r w:rsidRPr="00BE6387">
        <w:rPr>
          <w:b/>
          <w:i/>
          <w:sz w:val="28"/>
          <w:szCs w:val="28"/>
          <w:lang w:eastAsia="ru-RU"/>
        </w:rPr>
        <w:t>По п.</w:t>
      </w:r>
      <w:r>
        <w:rPr>
          <w:b/>
          <w:i/>
          <w:sz w:val="28"/>
          <w:szCs w:val="28"/>
          <w:lang w:eastAsia="ru-RU"/>
        </w:rPr>
        <w:t>21</w:t>
      </w:r>
      <w:r w:rsidRPr="00BE6387">
        <w:rPr>
          <w:b/>
          <w:sz w:val="28"/>
          <w:szCs w:val="28"/>
          <w:lang w:eastAsia="ru-RU"/>
        </w:rPr>
        <w:t xml:space="preserve"> </w:t>
      </w:r>
      <w:r w:rsidRPr="00BE638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Например: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Исходно-разрешительная документация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Технические условия на подключение к инженерным сетям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Материалы инженерных изысканий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Ситуационные планы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Результаты лабораторных анализов состава сточных вод</w:t>
      </w:r>
    </w:p>
    <w:p w:rsidR="00E92855" w:rsidRDefault="00E92855" w:rsidP="00E92855">
      <w:pPr>
        <w:pStyle w:val="ae"/>
        <w:numPr>
          <w:ilvl w:val="0"/>
          <w:numId w:val="2"/>
        </w:numPr>
        <w:suppressAutoHyphens w:val="0"/>
        <w:ind w:left="1134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Прочее</w:t>
      </w:r>
    </w:p>
    <w:p w:rsidR="00E92855" w:rsidRPr="00861169" w:rsidRDefault="00E92855" w:rsidP="00E92855">
      <w:pPr>
        <w:suppressAutoHyphens w:val="0"/>
        <w:ind w:firstLine="252"/>
        <w:jc w:val="both"/>
        <w:rPr>
          <w:b/>
          <w:sz w:val="28"/>
          <w:szCs w:val="28"/>
          <w:lang w:eastAsia="ru-RU"/>
        </w:rPr>
      </w:pPr>
    </w:p>
    <w:p w:rsidR="00693EA1" w:rsidRDefault="00693EA1"/>
    <w:sectPr w:rsidR="00693EA1" w:rsidSect="00E92855">
      <w:headerReference w:type="default" r:id="rId8"/>
      <w:footerReference w:type="default" r:id="rId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9A" w:rsidRDefault="0057309A" w:rsidP="00821AB7">
      <w:r>
        <w:separator/>
      </w:r>
    </w:p>
  </w:endnote>
  <w:endnote w:type="continuationSeparator" w:id="0">
    <w:p w:rsidR="0057309A" w:rsidRDefault="0057309A" w:rsidP="008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84400923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92855" w:rsidRPr="00E9285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92855" w:rsidRPr="00E92855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9A" w:rsidRDefault="0057309A" w:rsidP="00821AB7">
      <w:r>
        <w:separator/>
      </w:r>
    </w:p>
  </w:footnote>
  <w:footnote w:type="continuationSeparator" w:id="0">
    <w:p w:rsidR="0057309A" w:rsidRDefault="0057309A" w:rsidP="0082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E92855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  <w:lang w:eastAsia="ru-RU"/>
            </w:rPr>
            <w:drawing>
              <wp:inline distT="0" distB="0" distL="0" distR="0">
                <wp:extent cx="1695450" cy="643155"/>
                <wp:effectExtent l="0" t="0" r="0" b="5080"/>
                <wp:docPr id="3" name="Рисунок 3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E92855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E92855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E92855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E92855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E92855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E92855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E92855" w:rsidRDefault="00821AB7" w:rsidP="00821AB7">
          <w:pPr>
            <w:pStyle w:val="a3"/>
            <w:jc w:val="right"/>
            <w:rPr>
              <w:rFonts w:ascii="Tahoma" w:hAnsi="Tahoma" w:cs="Tahoma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E92855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E92855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</w:t>
            </w:r>
            <w:r w:rsidRPr="00E92855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E92855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E92855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821AB7" w:rsidRPr="00E92855" w:rsidRDefault="00821AB7" w:rsidP="00821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9685F"/>
    <w:multiLevelType w:val="hybridMultilevel"/>
    <w:tmpl w:val="C7103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22392"/>
    <w:multiLevelType w:val="hybridMultilevel"/>
    <w:tmpl w:val="808C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2590"/>
    <w:multiLevelType w:val="hybridMultilevel"/>
    <w:tmpl w:val="93B8A7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2C09C3"/>
    <w:rsid w:val="0057309A"/>
    <w:rsid w:val="00693EA1"/>
    <w:rsid w:val="00821AB7"/>
    <w:rsid w:val="00B32363"/>
    <w:rsid w:val="00D90130"/>
    <w:rsid w:val="00E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331FD2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E92855"/>
    <w:pPr>
      <w:keepNext/>
      <w:widowControl w:val="0"/>
      <w:numPr>
        <w:ilvl w:val="5"/>
        <w:numId w:val="1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928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rsid w:val="00E92855"/>
    <w:pPr>
      <w:jc w:val="both"/>
    </w:pPr>
  </w:style>
  <w:style w:type="character" w:customStyle="1" w:styleId="aa">
    <w:name w:val="Основной текст Знак"/>
    <w:basedOn w:val="a0"/>
    <w:link w:val="a9"/>
    <w:rsid w:val="00E92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E928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28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Title"/>
    <w:basedOn w:val="a"/>
    <w:link w:val="ac"/>
    <w:uiPriority w:val="10"/>
    <w:qFormat/>
    <w:rsid w:val="00E92855"/>
    <w:pPr>
      <w:suppressAutoHyphens w:val="0"/>
      <w:autoSpaceDE w:val="0"/>
      <w:autoSpaceDN w:val="0"/>
      <w:jc w:val="center"/>
    </w:pPr>
    <w:rPr>
      <w:rFonts w:eastAsia="Calibri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92855"/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customStyle="1" w:styleId="ad">
    <w:name w:val="."/>
    <w:uiPriority w:val="99"/>
    <w:rsid w:val="00E9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9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9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2021-09-20T19:35:00Z</dcterms:created>
  <dcterms:modified xsi:type="dcterms:W3CDTF">2021-09-20T19:35:00Z</dcterms:modified>
</cp:coreProperties>
</file>